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color w:val="A12C7B"/>
          <w:sz w:val="20"/>
        </w:rPr>
        <w:t>INTERNAL — AI-ASSISTED SECURITY AUDIT</w:t>
      </w:r>
    </w:p>
    <w:p>
      <w:pPr>
        <w:pStyle w:val="Title"/>
        <w:jc w:val="center"/>
      </w:pPr>
      <w:r>
        <w:t>Vaultfire Solana V3</w:t>
      </w:r>
    </w:p>
    <w:p>
      <w:pPr>
        <w:jc w:val="center"/>
      </w:pPr>
      <w:r>
        <w:rPr>
          <w:i/>
          <w:sz w:val="22"/>
        </w:rPr>
        <w:t>Native Anchor/Rust implementation — remediation handoff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2232"/>
            <w:shd w:fill="01696F"/>
            <w:vAlign w:val="top"/>
          </w:tcPr>
          <w:p>
            <w:r>
              <w:rPr>
                <w:color w:val="FFFFFF"/>
              </w:rPr>
            </w:r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8424"/>
            <w:shd w:fill="01696F"/>
            <w:vAlign w:val="top"/>
          </w:tcPr>
          <w:p>
            <w:r>
              <w:rPr>
                <w:color w:val="FFFFFF"/>
              </w:rPr>
            </w:r>
            <w:r>
              <w:rPr>
                <w:rFonts w:ascii="Arial" w:hAnsi="Arial"/>
                <w:b/>
                <w:color w:val="FFFFFF"/>
                <w:sz w:val="17"/>
              </w:rPr>
              <w:t>Record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Classification</w:t>
            </w:r>
          </w:p>
        </w:tc>
        <w:tc>
          <w:tcPr>
            <w:tcW w:type="dxa" w:w="842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Internal, AI-assisted; not an independent audit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Native scope</w:t>
            </w:r>
          </w:p>
        </w:tc>
        <w:tc>
          <w:tcPr>
            <w:tcW w:type="dxa" w:w="842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repos/vaultfire-solana — 15 Anchor/Rust programs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Exact baseline</w:t>
            </w:r>
          </w:p>
        </w:tc>
        <w:tc>
          <w:tcPr>
            <w:tcW w:type="dxa" w:w="842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fbedf828be39aaaf5d74aa6cb4085d783d28a683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Audit branch</w:t>
            </w:r>
          </w:p>
        </w:tc>
        <w:tc>
          <w:tcPr>
            <w:tcW w:type="dxa" w:w="842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audit/solana-v3-20260821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Deployment state</w:t>
            </w:r>
          </w:p>
        </w:tc>
        <w:tc>
          <w:tcPr>
            <w:tcW w:type="dxa" w:w="842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No deployment, signing, push, production change, or mainnet claim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Readiness verdict</w:t>
            </w:r>
          </w:p>
        </w:tc>
        <w:tc>
          <w:tcPr>
            <w:tcW w:type="dxa" w:w="842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NOT READY — BLOCKED</w:t>
            </w:r>
          </w:p>
        </w:tc>
      </w:tr>
    </w:tbl>
    <w:p/>
    <w:p>
      <w:pPr>
        <w:pStyle w:val="Heading1"/>
      </w:pPr>
      <w:r>
        <w:t>Executive conclusion</w:t>
      </w:r>
    </w:p>
    <w:p>
      <w:r>
        <w:t>The baseline native source was not safe to activate: any signer could capture singleton authorities, bond and governance semantics were incomplete, and bridge and ML-DSA labels were not backed by verification. The remediated V3 alpha branch is deliberately fail-closed. Every program bootstrap is disabled until a source-backed partner authority/custody design is independently reviewed.</w:t>
      </w:r>
    </w:p>
    <w:p>
      <w:r>
        <w:rPr>
          <w:b/>
        </w:rPr>
        <w:t>This internal AI-assisted review does not replace an independent human audit before any uncapped mainnet value is accepted.</w:t>
      </w:r>
    </w:p>
    <w:p>
      <w:pPr>
        <w:pStyle w:val="Heading1"/>
      </w:pPr>
      <w:r>
        <w:t>Confirmed findings and remediations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648"/>
            <w:shd w:fill="01696F"/>
            <w:vAlign w:val="top"/>
          </w:tcPr>
          <w:p>
            <w:r>
              <w:rPr>
                <w:color w:val="FFFFFF"/>
              </w:rPr>
            </w:r>
            <w:r>
              <w:rPr>
                <w:rFonts w:ascii="Arial" w:hAnsi="Arial"/>
                <w:b/>
                <w:color w:val="FFFFFF"/>
                <w:sz w:val="17"/>
              </w:rPr>
              <w:t>ID</w:t>
            </w:r>
          </w:p>
        </w:tc>
        <w:tc>
          <w:tcPr>
            <w:tcW w:type="dxa" w:w="792"/>
            <w:shd w:fill="01696F"/>
            <w:vAlign w:val="top"/>
          </w:tcPr>
          <w:p>
            <w:r>
              <w:rPr>
                <w:color w:val="FFFFFF"/>
              </w:rPr>
            </w:r>
            <w:r>
              <w:rPr>
                <w:rFonts w:ascii="Arial" w:hAnsi="Arial"/>
                <w:b/>
                <w:color w:val="FFFFFF"/>
                <w:sz w:val="17"/>
              </w:rPr>
              <w:t>Severity</w:t>
            </w:r>
          </w:p>
        </w:tc>
        <w:tc>
          <w:tcPr>
            <w:tcW w:type="dxa" w:w="1800"/>
            <w:shd w:fill="01696F"/>
            <w:vAlign w:val="top"/>
          </w:tcPr>
          <w:p>
            <w:r>
              <w:rPr>
                <w:color w:val="FFFFFF"/>
              </w:rPr>
            </w:r>
            <w:r>
              <w:rPr>
                <w:rFonts w:ascii="Arial" w:hAnsi="Arial"/>
                <w:b/>
                <w:color w:val="FFFFFF"/>
                <w:sz w:val="17"/>
              </w:rPr>
              <w:t>Symbol</w:t>
            </w:r>
          </w:p>
        </w:tc>
        <w:tc>
          <w:tcPr>
            <w:tcW w:type="dxa" w:w="2520"/>
            <w:shd w:fill="01696F"/>
            <w:vAlign w:val="top"/>
          </w:tcPr>
          <w:p>
            <w:r>
              <w:rPr>
                <w:color w:val="FFFFFF"/>
              </w:rPr>
            </w:r>
            <w:r>
              <w:rPr>
                <w:rFonts w:ascii="Arial" w:hAnsi="Arial"/>
                <w:b/>
                <w:color w:val="FFFFFF"/>
                <w:sz w:val="17"/>
              </w:rPr>
              <w:t>Exploit path</w:t>
            </w:r>
          </w:p>
        </w:tc>
        <w:tc>
          <w:tcPr>
            <w:tcW w:type="dxa" w:w="2664"/>
            <w:shd w:fill="01696F"/>
            <w:vAlign w:val="top"/>
          </w:tcPr>
          <w:p>
            <w:r>
              <w:rPr>
                <w:color w:val="FFFFFF"/>
              </w:rPr>
            </w:r>
            <w:r>
              <w:rPr>
                <w:rFonts w:ascii="Arial" w:hAnsi="Arial"/>
                <w:b/>
                <w:color w:val="FFFFFF"/>
                <w:sz w:val="17"/>
              </w:rPr>
              <w:t>Implemented fix</w:t>
            </w:r>
          </w:p>
        </w:tc>
        <w:tc>
          <w:tcPr>
            <w:tcW w:type="dxa" w:w="1800"/>
            <w:shd w:fill="01696F"/>
            <w:vAlign w:val="top"/>
          </w:tcPr>
          <w:p>
            <w:r>
              <w:rPr>
                <w:color w:val="FFFFFF"/>
              </w:rPr>
            </w:r>
            <w:r>
              <w:rPr>
                <w:rFonts w:ascii="Arial" w:hAnsi="Arial"/>
                <w:b/>
                <w:color w:val="FFFFFF"/>
                <w:sz w:val="17"/>
              </w:rPr>
              <w:t>Regression</w:t>
            </w:r>
          </w:p>
        </w:tc>
      </w:tr>
      <w:tr>
        <w:tc>
          <w:tcPr>
            <w:tcW w:type="dxa" w:w="648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SV3-01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Critical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All 15 initialize entrypoints</w:t>
            </w:r>
          </w:p>
        </w:tc>
        <w:tc>
          <w:tcPr>
            <w:tcW w:type="dxa" w:w="252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Permissionless fixed-PDA bootstrap let a first caller set each program authority.</w:t>
            </w:r>
          </w:p>
        </w:tc>
        <w:tc>
          <w:tcPr>
            <w:tcW w:type="dxa" w:w="266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All bootstraps return BootstrapDisabled. No authority or program ID was invented.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Source regression checks 15/15 guards.</w:t>
            </w:r>
          </w:p>
        </w:tc>
      </w:tr>
      <w:tr>
        <w:tc>
          <w:tcPr>
            <w:tcW w:type="dxa" w:w="648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SV3-02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High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ai_accountability_bonds::StakeBond / WithdrawBond</w:t>
            </w:r>
          </w:p>
        </w:tc>
        <w:tc>
          <w:tcPr>
            <w:tcW w:type="dxa" w:w="252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Unchecked/system-owned vault and raw lamport mutation could strand stake and desynchronize liabilities.</w:t>
            </w:r>
          </w:p>
        </w:tc>
        <w:tc>
          <w:tcPr>
            <w:tcW w:type="dxa" w:w="266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Typed program-owned BondVault, state/vault binding, rent reserve, checked accounting; slashing is disabled pending adjudication/settlement.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Regression asserts vault type, PDA binding, rent, checked math, and fail-closed slashing.</w:t>
            </w:r>
          </w:p>
        </w:tc>
      </w:tr>
      <w:tr>
        <w:tc>
          <w:tcPr>
            <w:tcW w:type="dxa" w:w="648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SV3-03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High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ai_partnership_bonds::create_bond</w:t>
            </w:r>
          </w:p>
        </w:tc>
        <w:tc>
          <w:tcPr>
            <w:tcW w:type="dxa" w:w="252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One signer could forge a bond naming any second public key; reverse-order duplicates were possible.</w:t>
            </w:r>
          </w:p>
        </w:tc>
        <w:tc>
          <w:tcPr>
            <w:tcW w:type="dxa" w:w="266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Both parties sign, self-bonds fail, participant order is canonical, PDA includes state.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Regression asserts mutual signer and canonical state-bound PDA.</w:t>
            </w:r>
          </w:p>
        </w:tc>
      </w:tr>
      <w:tr>
        <w:tc>
          <w:tcPr>
            <w:tcW w:type="dxa" w:w="648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SV3-04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High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multisig_governance</w:t>
            </w:r>
          </w:p>
        </w:tc>
        <w:tc>
          <w:tcPr>
            <w:tcW w:type="dxa" w:w="252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Duplicate signers inflated voting weight; proposals were unbounded/unlinked and 'execute' implied unsafe semantics.</w:t>
            </w:r>
          </w:p>
        </w:tc>
        <w:tc>
          <w:tcPr>
            <w:tcW w:type="dxa" w:w="266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Unique signers, 30-day expiry, state-bound PDA, signer-only finalizer; approval is not a CPI dispatcher.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Regression checks all controls and no invoke/invoke_signed.</w:t>
            </w:r>
          </w:p>
        </w:tc>
      </w:tr>
      <w:tr>
        <w:tc>
          <w:tcPr>
            <w:tcW w:type="dxa" w:w="648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SV3-05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Critical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trust_data_bridge</w:t>
            </w:r>
          </w:p>
        </w:tc>
        <w:tc>
          <w:tcPr>
            <w:tcW w:type="dxa" w:w="252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Authority-entered source/payload records had no remote proof, source binding, nonce, expiry, or replay defense.</w:t>
            </w:r>
          </w:p>
        </w:tc>
        <w:tc>
          <w:tcPr>
            <w:tcW w:type="dxa" w:w="266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Submission and processing atomically return AttestationVerificationUnavailable.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Regression checks fail-closed path and no payload persistence.</w:t>
            </w:r>
          </w:p>
        </w:tc>
      </w:tr>
      <w:tr>
        <w:tc>
          <w:tcPr>
            <w:tcW w:type="dxa" w:w="648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SV3-06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Critical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dilithium_attestor::submit_attestation</w:t>
            </w:r>
          </w:p>
        </w:tc>
        <w:tc>
          <w:tcPr>
            <w:tcW w:type="dxa" w:w="252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Arbitrary bytes were stored as a Dilithium attestation without ML-DSA verification.</w:t>
            </w:r>
          </w:p>
        </w:tc>
        <w:tc>
          <w:tcPr>
            <w:tcW w:type="dxa" w:w="266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Submission atomically returns VerificationUnavailable pending a reviewed verifier.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Regression checks rejection and no signature persistence.</w:t>
            </w:r>
          </w:p>
        </w:tc>
      </w:tr>
      <w:tr>
        <w:tc>
          <w:tcPr>
            <w:tcW w:type="dxa" w:w="648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SV3-07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Medium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All native program counters/versions</w:t>
            </w:r>
          </w:p>
        </w:tc>
        <w:tc>
          <w:tcPr>
            <w:tcW w:type="dxa" w:w="252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Unchecked increments and saturating lifecycle decrements obscured boundary failures.</w:t>
            </w:r>
          </w:p>
        </w:tc>
        <w:tc>
          <w:tcPr>
            <w:tcW w:type="dxa" w:w="2664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Checked operations with explicit errors across 15 programs.</w:t>
            </w:r>
          </w:p>
        </w:tc>
        <w:tc>
          <w:tcPr>
            <w:tcW w:type="dxa" w:w="18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Regression scans all program source for unsafe operators.</w:t>
            </w:r>
          </w:p>
        </w:tc>
      </w:tr>
    </w:tbl>
    <w:p/>
    <w:p>
      <w:pPr>
        <w:pStyle w:val="Heading1"/>
      </w:pPr>
      <w:r>
        <w:t>Solana-specific lifecycle assessment</w:t>
      </w:r>
    </w:p>
    <w:p>
      <w:pPr>
        <w:pStyle w:val="Heading2"/>
      </w:pPr>
      <w:r>
        <w:t>Partner bond</w:t>
      </w:r>
    </w:p>
    <w:p>
      <w:r>
        <w:t>V3 requires two independent signers, canonical relation identity, state binding, and participant-authorized dissolution.</w:t>
      </w:r>
    </w:p>
    <w:p>
      <w:pPr>
        <w:pStyle w:val="Heading2"/>
      </w:pPr>
      <w:r>
        <w:t>Accountability stake</w:t>
      </w:r>
    </w:p>
    <w:p>
      <w:r>
        <w:t>V3 uses an initialized program-owned PDA vault, keeps rent reserve, and uses checked liability transitions for stake and withdrawal. Slashing rejects until dispute, adjudication, and settlement-recipient rules are independently reviewed.</w:t>
      </w:r>
    </w:p>
    <w:p>
      <w:pPr>
        <w:pStyle w:val="Heading2"/>
      </w:pPr>
      <w:r>
        <w:t>Governance</w:t>
      </w:r>
    </w:p>
    <w:p>
      <w:r>
        <w:t>V3 rejects duplicate voting identities and stale approvals; finalization records an approval only and cannot dispatch arbitrary accounts or CPI.</w:t>
      </w:r>
    </w:p>
    <w:p>
      <w:pPr>
        <w:pStyle w:val="Heading2"/>
      </w:pPr>
      <w:r>
        <w:t>Bridge and attestations</w:t>
      </w:r>
    </w:p>
    <w:p>
      <w:r>
        <w:t>There is no trusted bridge or ML-DSA verifier in scope. V3 rejects both flows instead of emitting misleading trust records.</w:t>
      </w:r>
    </w:p>
    <w:p>
      <w:pPr>
        <w:pStyle w:val="Heading1"/>
      </w:pPr>
      <w:r>
        <w:t>Residual risks and mandatory release gates</w:t>
      </w:r>
    </w:p>
    <w:p>
      <w:pPr>
        <w:pStyle w:val="ListBullet"/>
      </w:pPr>
      <w:r>
        <w:t>No program can bootstrap. A partner must provide a reviewed authority, custody, migration, and activation design.</w:t>
      </w:r>
    </w:p>
    <w:p>
      <w:pPr>
        <w:pStyle w:val="ListBullet"/>
      </w:pPr>
      <w:r>
        <w:t>There is no native guardian, timelock, pause/rollback executor, dispute/adjudication process, or production upgrade-authority record.</w:t>
      </w:r>
    </w:p>
    <w:p>
      <w:pPr>
        <w:pStyle w:val="ListBullet"/>
      </w:pPr>
      <w:r>
        <w:t>A future bridge needs source-domain rules, independently verified proof, nonce/message-ID uniqueness, expiry, finality/reorg policy, and consumer binding.</w:t>
      </w:r>
    </w:p>
    <w:p>
      <w:pPr>
        <w:pStyle w:val="ListBullet"/>
      </w:pPr>
      <w:r>
        <w:t>A future ML-DSA path needs verified keys, domain/message binding, Solana-compatible implementation, deterministic vectors, compute/size assessment, and independent review.</w:t>
      </w:r>
    </w:p>
    <w:p>
      <w:pPr>
        <w:pStyle w:val="ListBullet"/>
      </w:pPr>
      <w:r>
        <w:t>Native source has no SPL token/x402 settlement flow. API metadata is not settlement proof or double-use protection.</w:t>
      </w:r>
    </w:p>
    <w:p>
      <w:pPr>
        <w:pStyle w:val="ListBullet"/>
      </w:pPr>
      <w:r>
        <w:t>Cargo, Rust, Anchor, Solana CLI, local validator, Rust security tools, and Prettier were unavailable in this environment; SBF build, IDL, validator, size, reproducibility, and dependency scans remain hard gates.</w:t>
      </w:r>
    </w:p>
    <w:p>
      <w:pPr>
        <w:pStyle w:val="Heading1"/>
      </w:pPr>
      <w:r>
        <w:t>Validation record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3600"/>
            <w:shd w:fill="01696F"/>
            <w:vAlign w:val="top"/>
          </w:tcPr>
          <w:p>
            <w:r>
              <w:rPr>
                <w:color w:val="FFFFFF"/>
              </w:rPr>
            </w:r>
            <w:r>
              <w:rPr>
                <w:rFonts w:ascii="Arial" w:hAnsi="Arial"/>
                <w:b/>
                <w:color w:val="FFFFFF"/>
                <w:sz w:val="17"/>
              </w:rPr>
              <w:t>Check</w:t>
            </w:r>
          </w:p>
        </w:tc>
        <w:tc>
          <w:tcPr>
            <w:tcW w:type="dxa" w:w="7056"/>
            <w:shd w:fill="01696F"/>
            <w:vAlign w:val="top"/>
          </w:tcPr>
          <w:p>
            <w:r>
              <w:rPr>
                <w:color w:val="FFFFFF"/>
              </w:rPr>
            </w:r>
            <w:r>
              <w:rPr>
                <w:rFonts w:ascii="Arial" w:hAnsi="Arial"/>
                <w:b/>
                <w:color w:val="FFFFFF"/>
                <w:sz w:val="17"/>
              </w:rPr>
              <w:t>Result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npm run test:readiness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Passed — 13 source/readiness/security regression tests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JSON parsing and git diff --check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Passed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Native source guard/structure scan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Passed — 15 program files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Cargo/Anchor/Solana build, tests, lint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Unavailable; required tools absent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cargo-audit / cargo-deny / cargo-geiger / Semgrep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Unavailable</w:t>
            </w:r>
          </w:p>
        </w:tc>
      </w:tr>
      <w:tr>
        <w:tc>
          <w:tcPr>
            <w:tcW w:type="dxa" w:w="3600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Prettier lint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rFonts w:ascii="Arial" w:hAnsi="Arial"/>
                <w:b w:val="0"/>
                <w:sz w:val="17"/>
              </w:rPr>
              <w:t>Unavailable; dependency not installed</w:t>
            </w:r>
          </w:p>
        </w:tc>
      </w:tr>
    </w:tbl>
    <w:p/>
    <w:sectPr w:rsidR="00FC693F" w:rsidRPr="0006063C" w:rsidSect="00034616">
      <w:footerReference w:type="default" r:id="rId9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7A7974"/>
        <w:sz w:val="14"/>
      </w:rPr>
      <w:t>Source: https://node.gitlawb.com/z6MkryiNsYdFEMHv95wxzSQ1vtFXPyVQQrxXdPw3tE5HpfxV/vaultfire.git | Audit baseline: fbedf828be39aaaf5d74aa6cb4085d783d28a683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1696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28251D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